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eastAsia="方正黑体_GBK"/>
          <w:color w:val="000000"/>
          <w:szCs w:val="32"/>
          <w:lang w:bidi="ar"/>
        </w:rPr>
      </w:pPr>
      <w:r>
        <w:rPr>
          <w:rFonts w:hint="default" w:eastAsia="方正黑体_GBK"/>
          <w:color w:val="000000"/>
          <w:szCs w:val="32"/>
          <w:lang w:bidi="ar"/>
        </w:rPr>
        <w:t>附件1</w:t>
      </w:r>
    </w:p>
    <w:p>
      <w:pPr>
        <w:pStyle w:val="2"/>
        <w:rPr>
          <w:rFonts w:hint="default"/>
          <w:color w:val="000000"/>
        </w:rPr>
      </w:pPr>
    </w:p>
    <w:p>
      <w:pPr>
        <w:spacing w:line="0" w:lineRule="atLeast"/>
        <w:jc w:val="center"/>
        <w:rPr>
          <w:rFonts w:hint="default" w:eastAsia="方正小标宋_GBK"/>
          <w:b/>
          <w:bCs/>
          <w:color w:val="000000"/>
          <w:sz w:val="44"/>
          <w:szCs w:val="44"/>
          <w:lang w:bidi="ar-SA"/>
        </w:rPr>
      </w:pPr>
      <w:bookmarkStart w:id="0" w:name="_GoBack"/>
      <w:r>
        <w:rPr>
          <w:rFonts w:hint="default" w:eastAsia="方正小标宋_GBK"/>
          <w:b/>
          <w:bCs/>
          <w:color w:val="000000"/>
          <w:sz w:val="44"/>
          <w:szCs w:val="44"/>
          <w:lang w:bidi="ar-SA"/>
        </w:rPr>
        <w:t>关于《攀枝花市优化营商环境条例（草案）</w:t>
      </w:r>
      <w:r>
        <w:rPr>
          <w:rFonts w:hint="default" w:eastAsia="方正小标宋_GBK"/>
          <w:b/>
          <w:bCs/>
          <w:color w:val="000000"/>
          <w:sz w:val="44"/>
          <w:szCs w:val="44"/>
          <w:lang w:eastAsia="zh-CN" w:bidi="ar-SA"/>
        </w:rPr>
        <w:t>》</w:t>
      </w:r>
      <w:r>
        <w:rPr>
          <w:rFonts w:eastAsia="方正小标宋_GBK"/>
          <w:b/>
          <w:bCs/>
          <w:color w:val="000000"/>
          <w:sz w:val="44"/>
          <w:szCs w:val="44"/>
          <w:lang w:eastAsia="zh-CN" w:bidi="ar-SA"/>
        </w:rPr>
        <w:t>（一审后征求意见稿）</w:t>
      </w:r>
      <w:r>
        <w:rPr>
          <w:rFonts w:hint="default" w:eastAsia="方正小标宋_GBK"/>
          <w:b/>
          <w:bCs/>
          <w:color w:val="000000"/>
          <w:sz w:val="44"/>
          <w:szCs w:val="44"/>
          <w:lang w:bidi="ar-SA"/>
        </w:rPr>
        <w:t>的说明</w:t>
      </w:r>
    </w:p>
    <w:bookmarkEnd w:id="0"/>
    <w:p>
      <w:pPr>
        <w:pStyle w:val="2"/>
        <w:rPr>
          <w:rFonts w:hint="default"/>
          <w:color w:val="000000"/>
        </w:rPr>
      </w:pPr>
    </w:p>
    <w:p>
      <w:pPr>
        <w:keepNext w:val="0"/>
        <w:keepLines w:val="0"/>
        <w:pageBreakBefore w:val="0"/>
        <w:widowControl w:val="0"/>
        <w:kinsoku/>
        <w:wordWrap/>
        <w:overflowPunct/>
        <w:topLinePunct w:val="0"/>
        <w:autoSpaceDE/>
        <w:autoSpaceDN/>
        <w:adjustRightInd/>
        <w:snapToGrid/>
        <w:spacing w:line="600" w:lineRule="exact"/>
        <w:ind w:firstLine="850" w:firstLineChars="250"/>
        <w:rPr>
          <w:rFonts w:hint="default" w:eastAsia="方正黑体_GBK"/>
          <w:strike/>
          <w:color w:val="000000"/>
          <w:kern w:val="0"/>
          <w:szCs w:val="32"/>
        </w:rPr>
      </w:pPr>
      <w:r>
        <w:rPr>
          <w:rFonts w:hint="default" w:eastAsia="方正黑体_GBK"/>
          <w:color w:val="000000"/>
          <w:kern w:val="0"/>
          <w:sz w:val="32"/>
          <w:szCs w:val="32"/>
          <w:lang w:bidi="ar-SA"/>
        </w:rPr>
        <w:t>一、</w:t>
      </w:r>
      <w:r>
        <w:rPr>
          <w:rFonts w:hint="eastAsia" w:eastAsia="方正黑体_GBK"/>
          <w:color w:val="000000"/>
          <w:kern w:val="0"/>
          <w:sz w:val="32"/>
          <w:szCs w:val="32"/>
          <w:lang w:val="en-US" w:eastAsia="zh-CN" w:bidi="ar-SA"/>
        </w:rPr>
        <w:t>制定</w:t>
      </w:r>
      <w:r>
        <w:rPr>
          <w:rFonts w:hint="default" w:eastAsia="方正黑体_GBK"/>
          <w:color w:val="000000"/>
          <w:kern w:val="0"/>
          <w:sz w:val="32"/>
          <w:szCs w:val="32"/>
          <w:lang w:val="en-US" w:eastAsia="zh-CN" w:bidi="ar-SA"/>
        </w:rPr>
        <w:t>背景</w:t>
      </w:r>
    </w:p>
    <w:p>
      <w:pPr>
        <w:keepNext w:val="0"/>
        <w:keepLines w:val="0"/>
        <w:pageBreakBefore w:val="0"/>
        <w:widowControl w:val="0"/>
        <w:kinsoku/>
        <w:wordWrap/>
        <w:overflowPunct/>
        <w:topLinePunct w:val="0"/>
        <w:autoSpaceDE/>
        <w:autoSpaceDN/>
        <w:bidi w:val="0"/>
        <w:adjustRightInd/>
        <w:snapToGrid/>
        <w:spacing w:after="0" w:line="600" w:lineRule="exact"/>
        <w:ind w:left="0" w:firstLine="680" w:firstLineChars="200"/>
        <w:jc w:val="both"/>
        <w:textAlignment w:val="auto"/>
        <w:rPr>
          <w:rFonts w:hint="default" w:eastAsia="方正仿宋_GBK"/>
          <w:color w:val="000000"/>
          <w:kern w:val="0"/>
          <w:sz w:val="32"/>
          <w:szCs w:val="32"/>
          <w:lang w:bidi="ar-SA"/>
        </w:rPr>
      </w:pPr>
      <w:r>
        <w:rPr>
          <w:rFonts w:hint="default" w:eastAsia="方正仿宋_GBK"/>
          <w:color w:val="000000"/>
          <w:kern w:val="0"/>
          <w:sz w:val="32"/>
          <w:szCs w:val="32"/>
          <w:lang w:val="en-US" w:eastAsia="zh-CN" w:bidi="ar-SA"/>
        </w:rPr>
        <w:t>党的十八大以来，以习近平同志为核心的党中央对优化营商环境作出一系列重要部署，党的二十届三中全会进一步明确提出要持续优化市场化、法治化、国际化一流营商环境，为各地相关工作开展指明了方向。制</w:t>
      </w:r>
      <w:r>
        <w:rPr>
          <w:rFonts w:hint="default" w:eastAsia="方正仿宋_GBK"/>
          <w:color w:val="000000"/>
          <w:kern w:val="0"/>
          <w:sz w:val="32"/>
          <w:szCs w:val="32"/>
          <w:lang w:bidi="ar-SA"/>
        </w:rPr>
        <w:t>定《攀枝花市优化营商环境条例》，是将</w:t>
      </w:r>
      <w:r>
        <w:rPr>
          <w:rFonts w:hint="default" w:eastAsia="方正仿宋_GBK"/>
          <w:color w:val="000000"/>
          <w:kern w:val="2"/>
          <w:sz w:val="32"/>
          <w:szCs w:val="32"/>
        </w:rPr>
        <w:t>党中央、国务院和省委、省政府</w:t>
      </w:r>
      <w:r>
        <w:rPr>
          <w:rFonts w:hint="default" w:eastAsia="方正仿宋_GBK"/>
          <w:color w:val="000000"/>
          <w:kern w:val="0"/>
          <w:sz w:val="32"/>
          <w:szCs w:val="32"/>
          <w:lang w:bidi="ar-SA"/>
        </w:rPr>
        <w:t>关于优化营商环境的决策部署转化为法治实践的关键举措。</w:t>
      </w:r>
    </w:p>
    <w:p>
      <w:pPr>
        <w:keepNext w:val="0"/>
        <w:keepLines w:val="0"/>
        <w:pageBreakBefore w:val="0"/>
        <w:widowControl w:val="0"/>
        <w:kinsoku/>
        <w:wordWrap/>
        <w:overflowPunct/>
        <w:topLinePunct w:val="0"/>
        <w:autoSpaceDE/>
        <w:autoSpaceDN/>
        <w:bidi w:val="0"/>
        <w:adjustRightInd/>
        <w:snapToGrid/>
        <w:spacing w:after="0" w:line="600" w:lineRule="exact"/>
        <w:ind w:left="0" w:firstLine="680" w:firstLineChars="200"/>
        <w:jc w:val="both"/>
        <w:textAlignment w:val="auto"/>
        <w:rPr>
          <w:rFonts w:hint="default" w:eastAsia="方正仿宋_GBK"/>
          <w:color w:val="000000"/>
          <w:kern w:val="0"/>
          <w:szCs w:val="32"/>
        </w:rPr>
      </w:pPr>
      <w:r>
        <w:rPr>
          <w:rFonts w:hint="default" w:eastAsia="方正仿宋_GBK"/>
          <w:color w:val="000000"/>
          <w:kern w:val="0"/>
          <w:sz w:val="32"/>
          <w:szCs w:val="32"/>
          <w:lang w:bidi="ar-SA"/>
        </w:rPr>
        <w:t>近年来，我市营商环境持续改善，但市场准入隐性壁垒、惠企政策精准度不高等问题依然存在，通过开展营商环境领域地方立法，</w:t>
      </w:r>
      <w:r>
        <w:rPr>
          <w:rFonts w:hint="default" w:eastAsia="方正仿宋_GBK"/>
          <w:color w:val="000000"/>
          <w:kern w:val="0"/>
          <w:szCs w:val="32"/>
        </w:rPr>
        <w:t>有利于通过法治的方式破解我市在</w:t>
      </w:r>
      <w:r>
        <w:rPr>
          <w:rFonts w:hint="default" w:eastAsia="方正仿宋_GBK"/>
          <w:color w:val="000000"/>
          <w:kern w:val="0"/>
          <w:szCs w:val="32"/>
          <w:lang w:val="en-US" w:eastAsia="zh-CN"/>
        </w:rPr>
        <w:t>政务服务、法治保障、要素支撑、创新引领等领域存在的难点堵点；</w:t>
      </w:r>
      <w:r>
        <w:rPr>
          <w:rFonts w:hint="default" w:eastAsia="方正仿宋_GBK"/>
          <w:color w:val="000000"/>
          <w:kern w:val="0"/>
          <w:szCs w:val="32"/>
        </w:rPr>
        <w:t>有利于将我市营商环境领域的一些好的</w:t>
      </w:r>
      <w:r>
        <w:rPr>
          <w:rFonts w:hint="default" w:eastAsia="方正仿宋_GBK"/>
          <w:color w:val="000000"/>
          <w:kern w:val="0"/>
          <w:szCs w:val="32"/>
          <w:lang w:val="en-US" w:eastAsia="zh-CN"/>
        </w:rPr>
        <w:t>经验、做法上升为法规制度</w:t>
      </w:r>
      <w:r>
        <w:rPr>
          <w:rFonts w:eastAsia="方正仿宋_GBK"/>
          <w:color w:val="000000"/>
          <w:kern w:val="0"/>
          <w:szCs w:val="32"/>
          <w:lang w:val="en-US" w:eastAsia="zh-CN"/>
        </w:rPr>
        <w:t>予以固化</w:t>
      </w:r>
      <w:r>
        <w:rPr>
          <w:rFonts w:hint="default" w:eastAsia="方正仿宋_GBK"/>
          <w:color w:val="000000"/>
          <w:kern w:val="0"/>
          <w:szCs w:val="32"/>
          <w:lang w:val="en-US" w:eastAsia="zh-CN"/>
        </w:rPr>
        <w:t>，切实发挥法治引导、推动、规范、保障改革的作用；有利于降低制度性交易成本，向市场释放积极信号，进一步激发社会投资活力，为我市夯实现代化基础、推动高质量发展建设共同富裕试验区和攀西战略资源创新开发试验区提供坚实的法治保障。</w:t>
      </w:r>
    </w:p>
    <w:p>
      <w:pPr>
        <w:keepNext w:val="0"/>
        <w:keepLines w:val="0"/>
        <w:pageBreakBefore w:val="0"/>
        <w:widowControl w:val="0"/>
        <w:kinsoku/>
        <w:wordWrap/>
        <w:overflowPunct/>
        <w:topLinePunct w:val="0"/>
        <w:autoSpaceDE/>
        <w:autoSpaceDN/>
        <w:bidi w:val="0"/>
        <w:adjustRightInd/>
        <w:snapToGrid/>
        <w:spacing w:after="0" w:line="600" w:lineRule="exact"/>
        <w:ind w:firstLine="680" w:firstLineChars="200"/>
        <w:jc w:val="both"/>
        <w:textAlignment w:val="auto"/>
        <w:rPr>
          <w:rFonts w:hint="default" w:eastAsia="方正楷体_GBK"/>
          <w:color w:val="000000"/>
          <w:kern w:val="0"/>
          <w:sz w:val="32"/>
          <w:szCs w:val="32"/>
          <w:lang w:val="en-US" w:eastAsia="zh-CN" w:bidi="ar-SA"/>
        </w:rPr>
      </w:pPr>
      <w:r>
        <w:rPr>
          <w:rFonts w:hint="default" w:eastAsia="方正黑体_GBK"/>
          <w:color w:val="000000"/>
          <w:kern w:val="0"/>
          <w:sz w:val="32"/>
          <w:szCs w:val="32"/>
          <w:lang w:bidi="ar-SA"/>
        </w:rPr>
        <w:t>二、</w:t>
      </w:r>
      <w:r>
        <w:rPr>
          <w:rFonts w:hint="eastAsia" w:eastAsia="方正黑体_GBK"/>
          <w:color w:val="000000"/>
          <w:kern w:val="0"/>
          <w:sz w:val="32"/>
          <w:szCs w:val="32"/>
          <w:lang w:val="en-US" w:eastAsia="zh-CN" w:bidi="ar-SA"/>
        </w:rPr>
        <w:t>制定</w:t>
      </w:r>
      <w:r>
        <w:rPr>
          <w:rFonts w:hint="default" w:eastAsia="方正黑体_GBK"/>
          <w:color w:val="000000"/>
          <w:kern w:val="0"/>
          <w:sz w:val="32"/>
          <w:szCs w:val="32"/>
          <w:lang w:val="en-US" w:eastAsia="zh-CN" w:bidi="ar-SA"/>
        </w:rPr>
        <w:t>过程</w:t>
      </w:r>
    </w:p>
    <w:p>
      <w:pPr>
        <w:keepNext w:val="0"/>
        <w:keepLines w:val="0"/>
        <w:pageBreakBefore w:val="0"/>
        <w:widowControl w:val="0"/>
        <w:kinsoku/>
        <w:wordWrap/>
        <w:overflowPunct/>
        <w:topLinePunct w:val="0"/>
        <w:autoSpaceDE/>
        <w:autoSpaceDN/>
        <w:adjustRightInd/>
        <w:snapToGrid/>
        <w:spacing w:line="600" w:lineRule="exact"/>
        <w:ind w:firstLine="680" w:firstLineChars="200"/>
        <w:rPr>
          <w:rFonts w:hint="default"/>
          <w:color w:val="000000"/>
          <w:lang w:val="en-US" w:eastAsia="zh-CN"/>
        </w:rPr>
      </w:pPr>
      <w:r>
        <w:rPr>
          <w:rFonts w:hint="default" w:eastAsia="方正仿宋_GBK"/>
          <w:color w:val="000000"/>
          <w:kern w:val="2"/>
          <w:sz w:val="32"/>
          <w:szCs w:val="32"/>
          <w:lang w:eastAsia="zh-CN"/>
        </w:rPr>
        <w:t>2025年2月至6月，</w:t>
      </w:r>
      <w:r>
        <w:rPr>
          <w:rFonts w:hint="default" w:eastAsia="方正仿宋_GBK"/>
          <w:bCs/>
          <w:color w:val="000000"/>
          <w:kern w:val="0"/>
          <w:sz w:val="32"/>
          <w:szCs w:val="32"/>
          <w:lang w:val="en-US" w:eastAsia="zh-CN" w:bidi="ar-SA"/>
        </w:rPr>
        <w:t>市发展改革委牵头组织开展营商环境立法调研，并形成调研报告。2026年1月至4月，</w:t>
      </w:r>
      <w:r>
        <w:rPr>
          <w:rFonts w:hint="default" w:eastAsia="方正仿宋_GBK"/>
          <w:bCs/>
          <w:color w:val="000000"/>
          <w:sz w:val="32"/>
          <w:szCs w:val="32"/>
          <w:lang w:bidi="ar-SA"/>
        </w:rPr>
        <w:t>市发展改革委牵头起草《</w:t>
      </w:r>
      <w:r>
        <w:rPr>
          <w:rFonts w:hint="default" w:eastAsia="方正仿宋_GBK"/>
          <w:color w:val="000000"/>
          <w:sz w:val="32"/>
          <w:szCs w:val="32"/>
          <w:lang w:bidi="ar-SA"/>
        </w:rPr>
        <w:t>攀枝花市优化营商环境条例</w:t>
      </w:r>
      <w:r>
        <w:rPr>
          <w:rFonts w:hint="default" w:eastAsia="方正仿宋_GBK"/>
          <w:bCs/>
          <w:color w:val="000000"/>
          <w:sz w:val="32"/>
          <w:szCs w:val="32"/>
          <w:lang w:bidi="ar-SA"/>
        </w:rPr>
        <w:t>（草案）》（以下简称</w:t>
      </w:r>
      <w:r>
        <w:rPr>
          <w:rFonts w:hint="default" w:eastAsia="方正仿宋_GBK"/>
          <w:color w:val="000000"/>
          <w:sz w:val="32"/>
          <w:szCs w:val="32"/>
          <w:lang w:val="en-US" w:eastAsia="en-US" w:bidi="ar-SA"/>
        </w:rPr>
        <w:t>《条例（草案）》</w:t>
      </w:r>
      <w:r>
        <w:rPr>
          <w:rFonts w:hint="default" w:eastAsia="方正仿宋_GBK"/>
          <w:bCs/>
          <w:color w:val="000000"/>
          <w:sz w:val="32"/>
          <w:szCs w:val="32"/>
          <w:lang w:bidi="ar-SA"/>
        </w:rPr>
        <w:t>）</w:t>
      </w:r>
      <w:r>
        <w:rPr>
          <w:rFonts w:hint="default" w:eastAsia="方正仿宋_GBK"/>
          <w:bCs/>
          <w:color w:val="000000"/>
          <w:sz w:val="32"/>
          <w:szCs w:val="32"/>
          <w:lang w:eastAsia="zh-CN" w:bidi="ar-SA"/>
        </w:rPr>
        <w:t>，</w:t>
      </w:r>
      <w:r>
        <w:rPr>
          <w:rFonts w:hint="default" w:eastAsia="方正仿宋_GBK"/>
          <w:bCs/>
          <w:color w:val="000000"/>
          <w:sz w:val="32"/>
          <w:szCs w:val="32"/>
          <w:lang w:bidi="ar-SA"/>
        </w:rPr>
        <w:t>市司法局进行审查论证</w:t>
      </w:r>
      <w:r>
        <w:rPr>
          <w:rFonts w:hint="default" w:eastAsia="方正仿宋_GBK"/>
          <w:bCs/>
          <w:color w:val="000000"/>
          <w:sz w:val="32"/>
          <w:szCs w:val="32"/>
          <w:lang w:eastAsia="zh-CN" w:bidi="ar-SA"/>
        </w:rPr>
        <w:t>。</w:t>
      </w:r>
      <w:r>
        <w:rPr>
          <w:rFonts w:hint="eastAsia" w:eastAsia="方正仿宋_GBK"/>
          <w:bCs/>
          <w:color w:val="000000"/>
          <w:sz w:val="32"/>
          <w:szCs w:val="32"/>
          <w:lang w:val="en-US" w:eastAsia="zh-CN" w:bidi="ar-SA"/>
        </w:rPr>
        <w:t>5</w:t>
      </w:r>
      <w:r>
        <w:rPr>
          <w:rFonts w:hint="eastAsia" w:eastAsia="方正仿宋_GBK"/>
          <w:bCs/>
          <w:color w:val="000000"/>
          <w:sz w:val="32"/>
          <w:szCs w:val="32"/>
          <w:lang w:eastAsia="zh-CN" w:bidi="ar-SA"/>
        </w:rPr>
        <w:t>月</w:t>
      </w:r>
      <w:r>
        <w:rPr>
          <w:rFonts w:hint="eastAsia" w:eastAsia="方正仿宋_GBK"/>
          <w:bCs/>
          <w:color w:val="000000"/>
          <w:sz w:val="32"/>
          <w:szCs w:val="32"/>
          <w:lang w:val="en-US" w:eastAsia="zh-CN" w:bidi="ar-SA"/>
        </w:rPr>
        <w:t>25</w:t>
      </w:r>
      <w:r>
        <w:rPr>
          <w:rFonts w:hint="eastAsia" w:eastAsia="方正仿宋_GBK"/>
          <w:bCs/>
          <w:color w:val="000000"/>
          <w:sz w:val="32"/>
          <w:szCs w:val="32"/>
          <w:lang w:eastAsia="zh-CN" w:bidi="ar-SA"/>
        </w:rPr>
        <w:t>日，</w:t>
      </w:r>
      <w:r>
        <w:rPr>
          <w:rFonts w:hint="default" w:eastAsia="方正仿宋_GBK"/>
          <w:bCs/>
          <w:color w:val="000000"/>
          <w:sz w:val="32"/>
          <w:szCs w:val="32"/>
          <w:lang w:bidi="ar-SA"/>
        </w:rPr>
        <w:t>市政府</w:t>
      </w:r>
      <w:r>
        <w:rPr>
          <w:rFonts w:eastAsia="方正仿宋_GBK"/>
          <w:bCs/>
          <w:color w:val="000000"/>
          <w:sz w:val="32"/>
          <w:szCs w:val="32"/>
          <w:lang w:bidi="ar-SA"/>
        </w:rPr>
        <w:t>第110次</w:t>
      </w:r>
      <w:r>
        <w:rPr>
          <w:rFonts w:hint="default" w:eastAsia="方正仿宋_GBK"/>
          <w:bCs/>
          <w:color w:val="000000"/>
          <w:sz w:val="32"/>
          <w:szCs w:val="32"/>
          <w:lang w:bidi="ar-SA"/>
        </w:rPr>
        <w:t>常务会议讨论通过</w:t>
      </w:r>
      <w:r>
        <w:rPr>
          <w:rFonts w:hint="default" w:eastAsia="方正仿宋_GBK"/>
          <w:bCs/>
          <w:color w:val="000000"/>
          <w:sz w:val="32"/>
          <w:szCs w:val="32"/>
          <w:lang w:eastAsia="zh-CN" w:bidi="ar-SA"/>
        </w:rPr>
        <w:t>，</w:t>
      </w:r>
      <w:r>
        <w:rPr>
          <w:rFonts w:hint="default" w:eastAsia="方正仿宋_GBK"/>
          <w:bCs/>
          <w:color w:val="000000"/>
          <w:sz w:val="32"/>
          <w:szCs w:val="32"/>
          <w:lang w:bidi="ar-SA"/>
        </w:rPr>
        <w:t>并</w:t>
      </w:r>
      <w:r>
        <w:rPr>
          <w:rFonts w:hint="default" w:eastAsia="方正仿宋_GBK"/>
          <w:bCs/>
          <w:color w:val="000000"/>
          <w:sz w:val="32"/>
          <w:szCs w:val="32"/>
          <w:lang w:eastAsia="zh-CN" w:bidi="ar-SA"/>
        </w:rPr>
        <w:t>向</w:t>
      </w:r>
      <w:r>
        <w:rPr>
          <w:rFonts w:hint="default" w:eastAsia="方正仿宋_GBK"/>
          <w:bCs/>
          <w:color w:val="000000"/>
          <w:sz w:val="32"/>
          <w:szCs w:val="32"/>
          <w:lang w:bidi="ar-SA"/>
        </w:rPr>
        <w:t>市人大常委会提请审议</w:t>
      </w:r>
      <w:r>
        <w:rPr>
          <w:rFonts w:hint="default" w:eastAsia="方正仿宋_GBK"/>
          <w:color w:val="000000"/>
          <w:sz w:val="32"/>
          <w:szCs w:val="32"/>
          <w:lang w:bidi="ar-SA"/>
        </w:rPr>
        <w:t>《条例（草案）》</w:t>
      </w:r>
      <w:r>
        <w:rPr>
          <w:rFonts w:hint="default" w:eastAsia="方正仿宋_GBK"/>
          <w:bCs/>
          <w:color w:val="000000"/>
          <w:sz w:val="32"/>
          <w:szCs w:val="32"/>
          <w:lang w:bidi="ar-SA"/>
        </w:rPr>
        <w:t>。7月</w:t>
      </w:r>
      <w:r>
        <w:rPr>
          <w:rFonts w:hint="eastAsia" w:eastAsia="方正仿宋_GBK"/>
          <w:bCs/>
          <w:color w:val="000000"/>
          <w:sz w:val="32"/>
          <w:szCs w:val="32"/>
          <w:lang w:val="en-US" w:eastAsia="zh-CN" w:bidi="ar-SA"/>
        </w:rPr>
        <w:t>3日</w:t>
      </w:r>
      <w:r>
        <w:rPr>
          <w:rFonts w:hint="default" w:eastAsia="方正仿宋_GBK"/>
          <w:bCs/>
          <w:color w:val="000000"/>
          <w:sz w:val="32"/>
          <w:szCs w:val="32"/>
          <w:lang w:bidi="ar-SA"/>
        </w:rPr>
        <w:t>，市十一届人大常委会第三十五次会议对</w:t>
      </w:r>
      <w:r>
        <w:rPr>
          <w:rFonts w:hint="default" w:eastAsia="方正仿宋_GBK"/>
          <w:color w:val="000000"/>
          <w:sz w:val="32"/>
          <w:szCs w:val="32"/>
          <w:lang w:bidi="ar-SA"/>
        </w:rPr>
        <w:t>《条例（草案）》进行了一次审议</w:t>
      </w:r>
      <w:r>
        <w:rPr>
          <w:rFonts w:hint="default" w:eastAsia="方正仿宋_GBK"/>
          <w:color w:val="000000"/>
          <w:kern w:val="2"/>
          <w:szCs w:val="32"/>
          <w:vertAlign w:val="baseline"/>
          <w:lang w:val="en-US" w:eastAsia="zh-CN" w:bidi="ar"/>
        </w:rPr>
        <w:t>。根据</w:t>
      </w:r>
      <w:r>
        <w:rPr>
          <w:rFonts w:hint="eastAsia" w:eastAsia="方正仿宋_GBK"/>
          <w:color w:val="000000"/>
          <w:kern w:val="2"/>
          <w:szCs w:val="32"/>
          <w:vertAlign w:val="baseline"/>
          <w:lang w:val="en-US" w:eastAsia="zh-CN" w:bidi="ar"/>
        </w:rPr>
        <w:t>市人大</w:t>
      </w:r>
      <w:r>
        <w:rPr>
          <w:rFonts w:hint="default" w:eastAsia="方正仿宋_GBK"/>
          <w:color w:val="000000"/>
          <w:kern w:val="2"/>
          <w:szCs w:val="32"/>
          <w:vertAlign w:val="baseline"/>
          <w:lang w:val="en-US" w:eastAsia="zh-CN" w:bidi="ar"/>
        </w:rPr>
        <w:t>常委会组成人员的审议意见</w:t>
      </w:r>
      <w:r>
        <w:rPr>
          <w:rFonts w:hint="eastAsia" w:eastAsia="方正仿宋_GBK"/>
          <w:color w:val="000000"/>
          <w:kern w:val="2"/>
          <w:szCs w:val="32"/>
          <w:vertAlign w:val="baseline"/>
          <w:lang w:val="en-US" w:eastAsia="zh-CN" w:bidi="ar"/>
        </w:rPr>
        <w:t>，</w:t>
      </w:r>
      <w:r>
        <w:rPr>
          <w:rFonts w:hint="default" w:eastAsia="方正仿宋_GBK"/>
          <w:color w:val="000000"/>
          <w:kern w:val="2"/>
          <w:szCs w:val="32"/>
          <w:vertAlign w:val="baseline"/>
          <w:lang w:val="en-US" w:eastAsia="zh-CN" w:bidi="ar"/>
        </w:rPr>
        <w:t>市人大常委会法工委</w:t>
      </w:r>
      <w:r>
        <w:rPr>
          <w:rFonts w:hint="eastAsia" w:eastAsia="方正仿宋_GBK"/>
          <w:color w:val="000000"/>
          <w:kern w:val="2"/>
          <w:szCs w:val="32"/>
          <w:vertAlign w:val="baseline"/>
          <w:lang w:val="en-US" w:eastAsia="zh-CN" w:bidi="ar"/>
        </w:rPr>
        <w:t>牵头组织市人大有关专委会、市政府有关部门</w:t>
      </w:r>
      <w:r>
        <w:rPr>
          <w:rFonts w:hint="default" w:eastAsia="方正仿宋_GBK"/>
          <w:color w:val="000000"/>
          <w:kern w:val="2"/>
          <w:szCs w:val="32"/>
          <w:vertAlign w:val="baseline"/>
          <w:lang w:val="en-US" w:eastAsia="zh-CN" w:bidi="ar"/>
        </w:rPr>
        <w:t>进行修改完善，形成《条例（草案）》（</w:t>
      </w:r>
      <w:r>
        <w:rPr>
          <w:rFonts w:eastAsia="方正仿宋_GBK"/>
          <w:color w:val="000000"/>
          <w:kern w:val="2"/>
          <w:szCs w:val="32"/>
          <w:vertAlign w:val="baseline"/>
          <w:lang w:val="en-US" w:eastAsia="zh-CN" w:bidi="ar"/>
        </w:rPr>
        <w:t>一审后</w:t>
      </w:r>
      <w:r>
        <w:rPr>
          <w:rFonts w:hint="default" w:eastAsia="方正仿宋_GBK"/>
          <w:color w:val="000000"/>
          <w:kern w:val="2"/>
          <w:szCs w:val="32"/>
          <w:vertAlign w:val="baseline"/>
          <w:lang w:val="en-US" w:eastAsia="zh-CN" w:bidi="ar"/>
        </w:rPr>
        <w:t>征求意见稿）。</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eastAsia="方正黑体_GBK"/>
          <w:color w:val="000000"/>
          <w:kern w:val="0"/>
          <w:sz w:val="32"/>
          <w:szCs w:val="32"/>
          <w:lang w:bidi="ar-SA"/>
        </w:rPr>
      </w:pPr>
      <w:r>
        <w:rPr>
          <w:rFonts w:eastAsia="方正黑体_GBK"/>
          <w:color w:val="000000"/>
          <w:kern w:val="0"/>
          <w:sz w:val="32"/>
          <w:szCs w:val="32"/>
          <w:lang w:bidi="ar-SA"/>
        </w:rPr>
        <w:t>三</w:t>
      </w:r>
      <w:r>
        <w:rPr>
          <w:rFonts w:hint="default" w:eastAsia="方正黑体_GBK"/>
          <w:color w:val="000000"/>
          <w:kern w:val="0"/>
          <w:sz w:val="32"/>
          <w:szCs w:val="32"/>
          <w:lang w:bidi="ar-SA"/>
        </w:rPr>
        <w:t>、</w:t>
      </w:r>
      <w:r>
        <w:rPr>
          <w:rFonts w:hint="eastAsia" w:eastAsia="方正黑体_GBK"/>
          <w:color w:val="000000"/>
          <w:kern w:val="0"/>
          <w:sz w:val="32"/>
          <w:szCs w:val="32"/>
          <w:lang w:eastAsia="zh-CN" w:bidi="ar-SA"/>
        </w:rPr>
        <w:t>制定</w:t>
      </w:r>
      <w:r>
        <w:rPr>
          <w:rFonts w:eastAsia="方正黑体_GBK"/>
          <w:color w:val="000000"/>
          <w:kern w:val="0"/>
          <w:sz w:val="32"/>
          <w:szCs w:val="32"/>
          <w:lang w:bidi="ar-SA"/>
        </w:rPr>
        <w:t>思路</w:t>
      </w:r>
    </w:p>
    <w:p>
      <w:pPr>
        <w:keepNext w:val="0"/>
        <w:keepLines w:val="0"/>
        <w:pageBreakBefore w:val="0"/>
        <w:widowControl w:val="0"/>
        <w:suppressAutoHyphens/>
        <w:kinsoku/>
        <w:wordWrap/>
        <w:overflowPunct/>
        <w:topLinePunct w:val="0"/>
        <w:autoSpaceDE/>
        <w:autoSpaceDN/>
        <w:adjustRightInd/>
        <w:snapToGrid/>
        <w:spacing w:line="580" w:lineRule="exact"/>
        <w:ind w:left="0" w:firstLine="680" w:firstLineChars="200"/>
        <w:rPr>
          <w:rFonts w:eastAsia="方正仿宋_GBK"/>
          <w:bCs/>
          <w:color w:val="000000"/>
          <w:kern w:val="0"/>
          <w:szCs w:val="32"/>
        </w:rPr>
      </w:pPr>
      <w:r>
        <w:rPr>
          <w:rFonts w:hint="default" w:eastAsia="方正仿宋_GBK" w:cs="仿宋_GB2312"/>
          <w:color w:val="000000"/>
          <w:szCs w:val="32"/>
          <w:lang w:val="en-US" w:eastAsia="en-US" w:bidi="ar-SA"/>
        </w:rPr>
        <w:t>以习近平新时代中国特色社会主义思想为指导，全面贯彻党的二十大和二十届历次全会精神，认真落实党中央和省委</w:t>
      </w:r>
      <w:r>
        <w:rPr>
          <w:rFonts w:eastAsia="方正仿宋_GBK" w:cs="仿宋_GB2312"/>
          <w:color w:val="000000"/>
          <w:szCs w:val="32"/>
          <w:lang w:val="en-US" w:eastAsia="en-US" w:bidi="ar-SA"/>
        </w:rPr>
        <w:t>、</w:t>
      </w:r>
      <w:r>
        <w:rPr>
          <w:rFonts w:hint="default" w:eastAsia="方正仿宋_GBK" w:cs="仿宋_GB2312"/>
          <w:color w:val="000000"/>
          <w:szCs w:val="32"/>
          <w:lang w:val="en-US" w:eastAsia="en-US" w:bidi="ar-SA"/>
        </w:rPr>
        <w:t>省政府关于优化营商环境、促进民营经济发展等决策部署，</w:t>
      </w:r>
      <w:r>
        <w:rPr>
          <w:rFonts w:eastAsia="方正仿宋_GBK" w:cs="仿宋_GB2312"/>
          <w:color w:val="000000"/>
          <w:szCs w:val="32"/>
          <w:lang w:val="en-US" w:eastAsia="en-US" w:bidi="ar-SA"/>
        </w:rPr>
        <w:t>紧扣《四川省人民代表大会常务委员会关于推动攀枝花市高质量发展建设共同富裕试验区的决定》，</w:t>
      </w:r>
      <w:r>
        <w:rPr>
          <w:rFonts w:hint="default" w:eastAsia="方正仿宋_GBK" w:cs="仿宋_GB2312"/>
          <w:color w:val="000000"/>
          <w:szCs w:val="32"/>
          <w:lang w:val="en-US" w:eastAsia="en-US" w:bidi="ar-SA"/>
        </w:rPr>
        <w:t>围绕“两试引领、五市并进、共富共美”工作体系‌，以市场化、法治化、国际化为导向，加强营商环境体制机制建设，不断提升全市营商环境水平。</w:t>
      </w:r>
      <w:r>
        <w:rPr>
          <w:rFonts w:hint="default" w:eastAsia="方正仿宋_GBK"/>
          <w:b/>
          <w:bCs/>
          <w:color w:val="000000"/>
          <w:szCs w:val="32"/>
          <w:lang w:val="en-US" w:eastAsia="zh-CN" w:bidi="ar"/>
        </w:rPr>
        <w:t>一是</w:t>
      </w:r>
      <w:r>
        <w:rPr>
          <w:rFonts w:hint="default" w:eastAsia="方正仿宋_GBK"/>
          <w:color w:val="000000"/>
          <w:szCs w:val="32"/>
          <w:lang w:val="en-US" w:eastAsia="zh-CN" w:bidi="ar"/>
        </w:rPr>
        <w:t>准确把握定位。《条</w:t>
      </w:r>
      <w:r>
        <w:rPr>
          <w:rFonts w:hint="default" w:eastAsia="方正仿宋_GBK"/>
          <w:color w:val="000000"/>
          <w:szCs w:val="32"/>
          <w:lang w:bidi="ar"/>
        </w:rPr>
        <w:t>例（草案）》</w:t>
      </w:r>
      <w:r>
        <w:rPr>
          <w:rFonts w:hint="default" w:eastAsia="方正仿宋_GBK"/>
          <w:color w:val="000000"/>
          <w:szCs w:val="32"/>
          <w:lang w:val="en-US" w:eastAsia="zh-CN" w:bidi="ar"/>
        </w:rPr>
        <w:t>在立法目的中明确“推动攀枝花高质量发展建设共</w:t>
      </w:r>
      <w:r>
        <w:rPr>
          <w:rFonts w:hint="default" w:eastAsia="方正仿宋_GBK"/>
          <w:color w:val="000000"/>
          <w:kern w:val="0"/>
          <w:sz w:val="32"/>
          <w:szCs w:val="32"/>
          <w:lang w:val="en-US" w:eastAsia="zh-CN" w:bidi="ar-SA"/>
        </w:rPr>
        <w:t>同富裕试验区，服务攀西战略资源创新开发试验区建设”，从法治层面确立了两大战略的引领地位</w:t>
      </w:r>
      <w:r>
        <w:rPr>
          <w:rFonts w:eastAsia="方正仿宋_GBK"/>
          <w:color w:val="000000"/>
          <w:kern w:val="0"/>
          <w:sz w:val="32"/>
          <w:szCs w:val="32"/>
          <w:lang w:val="en-US" w:eastAsia="zh-CN" w:bidi="ar-SA"/>
        </w:rPr>
        <w:t>，并以此推动构建</w:t>
      </w:r>
      <w:r>
        <w:rPr>
          <w:rFonts w:hint="default" w:eastAsia="方正仿宋_GBK"/>
          <w:color w:val="000000"/>
          <w:kern w:val="0"/>
          <w:sz w:val="32"/>
          <w:szCs w:val="32"/>
          <w:lang w:val="en-US" w:eastAsia="zh-CN" w:bidi="ar-SA"/>
        </w:rPr>
        <w:t>“</w:t>
      </w:r>
      <w:r>
        <w:rPr>
          <w:rFonts w:eastAsia="方正仿宋_GBK"/>
          <w:color w:val="000000"/>
          <w:kern w:val="0"/>
          <w:sz w:val="32"/>
          <w:szCs w:val="32"/>
          <w:lang w:val="en-US" w:eastAsia="zh-CN" w:bidi="ar-SA"/>
        </w:rPr>
        <w:t>1+N</w:t>
      </w:r>
      <w:r>
        <w:rPr>
          <w:rFonts w:hint="default" w:eastAsia="方正仿宋_GBK"/>
          <w:color w:val="000000"/>
          <w:kern w:val="0"/>
          <w:sz w:val="32"/>
          <w:szCs w:val="32"/>
          <w:lang w:val="en-US" w:eastAsia="zh-CN" w:bidi="ar-SA"/>
        </w:rPr>
        <w:t>”</w:t>
      </w:r>
      <w:r>
        <w:rPr>
          <w:rFonts w:eastAsia="方正仿宋_GBK"/>
          <w:color w:val="000000"/>
          <w:kern w:val="0"/>
          <w:sz w:val="32"/>
          <w:szCs w:val="32"/>
          <w:lang w:val="en-US" w:eastAsia="zh-CN" w:bidi="ar-SA"/>
        </w:rPr>
        <w:t>的共同富裕试验区法治保障体系。</w:t>
      </w:r>
      <w:r>
        <w:rPr>
          <w:rFonts w:eastAsia="方正仿宋_GBK"/>
          <w:b/>
          <w:bCs/>
          <w:color w:val="000000"/>
          <w:kern w:val="0"/>
          <w:sz w:val="32"/>
          <w:szCs w:val="32"/>
          <w:lang w:val="en-US" w:eastAsia="zh-CN" w:bidi="ar-SA"/>
        </w:rPr>
        <w:t>二</w:t>
      </w:r>
      <w:r>
        <w:rPr>
          <w:rFonts w:hint="default" w:eastAsia="方正仿宋_GBK"/>
          <w:b/>
          <w:bCs/>
          <w:color w:val="000000"/>
          <w:kern w:val="0"/>
          <w:szCs w:val="32"/>
        </w:rPr>
        <w:t>是</w:t>
      </w:r>
      <w:r>
        <w:rPr>
          <w:rFonts w:hint="default" w:eastAsia="方正仿宋_GBK"/>
          <w:bCs/>
          <w:color w:val="000000"/>
          <w:kern w:val="0"/>
          <w:szCs w:val="32"/>
        </w:rPr>
        <w:t>积极</w:t>
      </w:r>
      <w:r>
        <w:rPr>
          <w:rFonts w:hint="default" w:eastAsia="方正仿宋_GBK" w:cs="方正楷体简体"/>
          <w:bCs/>
          <w:color w:val="000000"/>
          <w:kern w:val="0"/>
          <w:szCs w:val="32"/>
          <w:lang w:bidi="ar-SA"/>
        </w:rPr>
        <w:t>回应</w:t>
      </w:r>
      <w:r>
        <w:rPr>
          <w:rFonts w:eastAsia="方正仿宋_GBK" w:cs="方正楷体简体"/>
          <w:bCs/>
          <w:color w:val="000000"/>
          <w:kern w:val="0"/>
          <w:szCs w:val="32"/>
          <w:lang w:bidi="ar-SA"/>
        </w:rPr>
        <w:t>市场主体</w:t>
      </w:r>
      <w:r>
        <w:rPr>
          <w:rFonts w:hint="default" w:eastAsia="方正仿宋_GBK" w:cs="方正楷体简体"/>
          <w:bCs/>
          <w:color w:val="000000"/>
          <w:kern w:val="0"/>
          <w:szCs w:val="32"/>
          <w:lang w:bidi="ar-SA"/>
        </w:rPr>
        <w:t>关注。</w:t>
      </w:r>
      <w:r>
        <w:rPr>
          <w:rFonts w:hint="default" w:eastAsia="方正仿宋_GBK"/>
          <w:bCs/>
          <w:color w:val="000000"/>
          <w:kern w:val="0"/>
          <w:szCs w:val="32"/>
        </w:rPr>
        <w:t>《条例（草案）》</w:t>
      </w:r>
      <w:r>
        <w:rPr>
          <w:rFonts w:hint="default" w:eastAsia="方正仿宋_GBK"/>
          <w:color w:val="000000"/>
          <w:kern w:val="0"/>
          <w:szCs w:val="32"/>
        </w:rPr>
        <w:t>明确规定依法对各类市场主体提供要素保障与全方位协调服务</w:t>
      </w:r>
      <w:r>
        <w:rPr>
          <w:rFonts w:eastAsia="方正仿宋_GBK"/>
          <w:color w:val="000000"/>
          <w:kern w:val="0"/>
          <w:szCs w:val="32"/>
        </w:rPr>
        <w:t>，</w:t>
      </w:r>
      <w:r>
        <w:rPr>
          <w:rFonts w:hint="default" w:eastAsia="方正仿宋_GBK"/>
          <w:color w:val="000000"/>
          <w:kern w:val="0"/>
          <w:szCs w:val="32"/>
        </w:rPr>
        <w:t>系统规定了市场主体退出程序。同时，结合攀枝花地方实际，支持新能源、新材料等战略性新兴产业发展，并建立重点产业链协同推进机制。</w:t>
      </w:r>
      <w:r>
        <w:rPr>
          <w:rFonts w:eastAsia="方正仿宋_GBK"/>
          <w:b/>
          <w:bCs/>
          <w:color w:val="000000"/>
          <w:kern w:val="0"/>
          <w:szCs w:val="32"/>
        </w:rPr>
        <w:t>三是</w:t>
      </w:r>
      <w:r>
        <w:rPr>
          <w:rFonts w:hint="default" w:eastAsia="方正仿宋_GBK" w:cs="方正楷体简体"/>
          <w:bCs/>
          <w:color w:val="000000"/>
          <w:kern w:val="0"/>
          <w:szCs w:val="32"/>
          <w:lang w:bidi="ar-SA"/>
        </w:rPr>
        <w:t>坚持问题导向。</w:t>
      </w:r>
      <w:r>
        <w:rPr>
          <w:rFonts w:hint="default" w:eastAsia="方正仿宋_GBK"/>
          <w:bCs/>
          <w:color w:val="000000"/>
          <w:kern w:val="0"/>
          <w:szCs w:val="32"/>
        </w:rPr>
        <w:t>《条例（草案）》聚焦政务服务标准化、便利化、智能化问题，</w:t>
      </w:r>
      <w:r>
        <w:rPr>
          <w:rFonts w:eastAsia="方正仿宋_GBK"/>
          <w:bCs/>
          <w:color w:val="000000"/>
          <w:kern w:val="0"/>
          <w:szCs w:val="32"/>
        </w:rPr>
        <w:t>就</w:t>
      </w:r>
      <w:r>
        <w:rPr>
          <w:rFonts w:hint="default" w:eastAsia="方正仿宋_GBK"/>
          <w:bCs/>
          <w:color w:val="000000"/>
          <w:szCs w:val="32"/>
          <w:lang w:val="en-US" w:eastAsia="zh-CN" w:bidi="ar"/>
        </w:rPr>
        <w:t>容缺受理</w:t>
      </w:r>
      <w:r>
        <w:rPr>
          <w:rFonts w:eastAsia="方正仿宋_GBK"/>
          <w:bCs/>
          <w:color w:val="000000"/>
          <w:szCs w:val="32"/>
          <w:lang w:val="en-US" w:eastAsia="zh-CN" w:bidi="ar"/>
        </w:rPr>
        <w:t>、</w:t>
      </w:r>
      <w:r>
        <w:rPr>
          <w:rFonts w:hint="default" w:eastAsia="方正仿宋_GBK"/>
          <w:bCs/>
          <w:color w:val="000000"/>
          <w:szCs w:val="32"/>
          <w:lang w:val="en-US" w:eastAsia="zh-CN" w:bidi="ar"/>
        </w:rPr>
        <w:t>告知承诺</w:t>
      </w:r>
      <w:r>
        <w:rPr>
          <w:rFonts w:eastAsia="方正仿宋_GBK"/>
          <w:bCs/>
          <w:color w:val="000000"/>
          <w:szCs w:val="32"/>
          <w:lang w:val="en-US" w:eastAsia="zh-CN" w:bidi="ar"/>
        </w:rPr>
        <w:t>以及</w:t>
      </w:r>
      <w:r>
        <w:rPr>
          <w:rFonts w:hint="default" w:eastAsia="方正仿宋_GBK"/>
          <w:bCs/>
          <w:color w:val="000000"/>
          <w:szCs w:val="32"/>
          <w:lang w:val="en-US" w:eastAsia="zh-CN" w:bidi="ar"/>
        </w:rPr>
        <w:t>“免申即享”“直达快享”“接诉即办”</w:t>
      </w:r>
      <w:r>
        <w:rPr>
          <w:rFonts w:eastAsia="方正仿宋_GBK"/>
          <w:bCs/>
          <w:color w:val="000000"/>
          <w:szCs w:val="32"/>
          <w:lang w:val="en-US" w:eastAsia="zh-CN" w:bidi="ar"/>
        </w:rPr>
        <w:t>等机制作出规定。</w:t>
      </w:r>
      <w:r>
        <w:rPr>
          <w:rFonts w:eastAsia="方正仿宋_GBK"/>
          <w:b/>
          <w:bCs/>
          <w:color w:val="000000"/>
          <w:kern w:val="0"/>
          <w:szCs w:val="32"/>
          <w:lang w:val="en-US" w:eastAsia="zh-CN" w:bidi="ar-SA"/>
        </w:rPr>
        <w:t>四是</w:t>
      </w:r>
      <w:r>
        <w:rPr>
          <w:rFonts w:hint="default" w:eastAsia="方正仿宋_GBK"/>
          <w:bCs/>
          <w:color w:val="000000"/>
          <w:kern w:val="0"/>
          <w:szCs w:val="32"/>
          <w:lang w:val="en-US" w:eastAsia="zh-CN" w:bidi="ar-SA"/>
        </w:rPr>
        <w:t>强化法治保障。</w:t>
      </w:r>
      <w:r>
        <w:rPr>
          <w:rFonts w:hint="default" w:eastAsia="方正仿宋_GBK"/>
          <w:bCs/>
          <w:color w:val="000000"/>
          <w:kern w:val="0"/>
          <w:szCs w:val="32"/>
          <w:lang w:val="en-US" w:eastAsia="zh-CN" w:bidi="ar"/>
        </w:rPr>
        <w:t>《条例（草</w:t>
      </w:r>
      <w:r>
        <w:rPr>
          <w:rFonts w:hint="default" w:eastAsia="方正仿宋_GBK"/>
          <w:bCs/>
          <w:color w:val="000000"/>
          <w:szCs w:val="32"/>
          <w:lang w:val="en-US" w:eastAsia="zh-CN" w:bidi="ar"/>
        </w:rPr>
        <w:t>案）》</w:t>
      </w:r>
      <w:r>
        <w:rPr>
          <w:rFonts w:hint="default" w:eastAsia="方正仿宋_GBK"/>
          <w:color w:val="000000"/>
          <w:kern w:val="0"/>
          <w:sz w:val="32"/>
          <w:szCs w:val="32"/>
          <w:lang w:val="en-US" w:eastAsia="zh-CN" w:bidi="ar-SA"/>
        </w:rPr>
        <w:t>系统构建包容审慎监管、规范执法、司法协同、破产处置等法治保障体系</w:t>
      </w:r>
      <w:r>
        <w:rPr>
          <w:rFonts w:eastAsia="方正仿宋_GBK"/>
          <w:color w:val="000000"/>
          <w:kern w:val="0"/>
          <w:sz w:val="32"/>
          <w:szCs w:val="32"/>
          <w:lang w:val="en-US" w:eastAsia="zh-CN" w:bidi="ar-SA"/>
        </w:rPr>
        <w:t>，</w:t>
      </w:r>
      <w:r>
        <w:rPr>
          <w:rFonts w:hint="default" w:eastAsia="方正仿宋_GBK"/>
          <w:color w:val="000000"/>
          <w:kern w:val="0"/>
          <w:sz w:val="32"/>
          <w:szCs w:val="32"/>
          <w:lang w:val="en-US" w:eastAsia="zh-CN" w:bidi="ar-SA"/>
        </w:rPr>
        <w:t>推行联合检查模式，规范行政处罚裁量权，推广非强制性执法手段，尽量减少对市场主体正常经营的干扰</w:t>
      </w:r>
      <w:r>
        <w:rPr>
          <w:rFonts w:eastAsia="方正仿宋_GBK"/>
          <w:color w:val="00000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left="0" w:firstLine="850" w:firstLineChars="250"/>
        <w:jc w:val="both"/>
        <w:textAlignment w:val="auto"/>
        <w:rPr>
          <w:rFonts w:hint="default" w:eastAsia="方正黑体_GBK"/>
          <w:color w:val="000000"/>
          <w:kern w:val="0"/>
          <w:sz w:val="32"/>
          <w:szCs w:val="32"/>
          <w:lang w:bidi="ar-SA"/>
        </w:rPr>
      </w:pPr>
      <w:r>
        <w:rPr>
          <w:rFonts w:eastAsia="方正黑体_GBK"/>
          <w:color w:val="000000"/>
          <w:kern w:val="0"/>
          <w:sz w:val="32"/>
          <w:szCs w:val="32"/>
          <w:lang w:bidi="ar-SA"/>
        </w:rPr>
        <w:t>四、</w:t>
      </w:r>
      <w:r>
        <w:rPr>
          <w:rFonts w:hint="default" w:eastAsia="方正黑体_GBK"/>
          <w:color w:val="000000"/>
          <w:kern w:val="0"/>
          <w:sz w:val="32"/>
          <w:szCs w:val="32"/>
          <w:lang w:bidi="ar-SA"/>
        </w:rPr>
        <w:t>主要内容</w:t>
      </w:r>
    </w:p>
    <w:p>
      <w:pPr>
        <w:keepNext w:val="0"/>
        <w:keepLines w:val="0"/>
        <w:pageBreakBefore w:val="0"/>
        <w:widowControl w:val="0"/>
        <w:kinsoku/>
        <w:wordWrap/>
        <w:overflowPunct/>
        <w:topLinePunct w:val="0"/>
        <w:autoSpaceDE/>
        <w:autoSpaceDN/>
        <w:adjustRightInd/>
        <w:snapToGrid/>
        <w:spacing w:line="600" w:lineRule="exact"/>
        <w:ind w:left="0" w:firstLine="680" w:firstLineChars="200"/>
        <w:rPr>
          <w:rFonts w:hint="default" w:eastAsia="方正仿宋_GBK"/>
          <w:color w:val="000000"/>
          <w:kern w:val="0"/>
          <w:szCs w:val="32"/>
        </w:rPr>
      </w:pPr>
      <w:r>
        <w:rPr>
          <w:rFonts w:hint="default" w:eastAsia="方正仿宋_GBK"/>
          <w:color w:val="000000"/>
          <w:kern w:val="0"/>
          <w:szCs w:val="32"/>
        </w:rPr>
        <w:t>《条例（草案）》共36条，未设定章节，按照“总则—市场环境—政务服务—法治保障—法律责任—附则”</w:t>
      </w:r>
      <w:r>
        <w:rPr>
          <w:rFonts w:eastAsia="方正仿宋_GBK"/>
          <w:color w:val="000000"/>
          <w:kern w:val="0"/>
          <w:szCs w:val="32"/>
        </w:rPr>
        <w:t>顺序</w:t>
      </w:r>
      <w:r>
        <w:rPr>
          <w:rFonts w:hint="default" w:eastAsia="方正仿宋_GBK"/>
          <w:color w:val="000000"/>
          <w:kern w:val="0"/>
          <w:szCs w:val="32"/>
        </w:rPr>
        <w:t>，突出地方立法的补充性、实施性和探索性功能</w:t>
      </w:r>
      <w:r>
        <w:rPr>
          <w:rFonts w:eastAsia="方正仿宋_GBK"/>
          <w:color w:val="000000"/>
          <w:kern w:val="0"/>
          <w:szCs w:val="32"/>
        </w:rPr>
        <w:t>。</w:t>
      </w:r>
      <w:r>
        <w:rPr>
          <w:rFonts w:hint="default" w:eastAsia="方正仿宋_GBK"/>
          <w:color w:val="000000"/>
          <w:kern w:val="0"/>
          <w:szCs w:val="32"/>
        </w:rPr>
        <w:t>具体内容如下。</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eastAsia="方正仿宋_GBK"/>
          <w:color w:val="000000"/>
          <w:kern w:val="0"/>
          <w:szCs w:val="32"/>
          <w:lang w:val="en-US" w:eastAsia="zh-CN" w:bidi="ar-SA"/>
        </w:rPr>
      </w:pPr>
      <w:r>
        <w:rPr>
          <w:rFonts w:eastAsia="方正楷体_GBK"/>
          <w:b/>
          <w:bCs/>
          <w:color w:val="000000"/>
          <w:kern w:val="0"/>
          <w:sz w:val="32"/>
          <w:szCs w:val="32"/>
          <w:lang w:val="en-US" w:eastAsia="zh-CN" w:bidi="ar-SA"/>
        </w:rPr>
        <w:t>（一）</w:t>
      </w:r>
      <w:r>
        <w:rPr>
          <w:rFonts w:hint="default" w:eastAsia="方正楷体_GBK"/>
          <w:b/>
          <w:bCs/>
          <w:color w:val="000000"/>
          <w:kern w:val="0"/>
          <w:sz w:val="32"/>
          <w:szCs w:val="32"/>
          <w:lang w:val="en-US" w:eastAsia="zh-CN" w:bidi="ar-SA"/>
        </w:rPr>
        <w:t>总则部分（第一条至第五条）。</w:t>
      </w:r>
      <w:r>
        <w:rPr>
          <w:rFonts w:hint="default" w:eastAsia="方正仿宋_GBK"/>
          <w:color w:val="000000"/>
          <w:kern w:val="0"/>
          <w:szCs w:val="32"/>
          <w:lang w:val="en-US" w:eastAsia="zh-CN" w:bidi="ar-SA"/>
        </w:rPr>
        <w:t>主要对立法目的、适用范围、政府职责、宣传引导进行规定。</w:t>
      </w:r>
    </w:p>
    <w:p>
      <w:pPr>
        <w:keepNext w:val="0"/>
        <w:keepLines w:val="0"/>
        <w:pageBreakBefore w:val="0"/>
        <w:widowControl w:val="0"/>
        <w:kinsoku/>
        <w:wordWrap/>
        <w:overflowPunct/>
        <w:topLinePunct w:val="0"/>
        <w:autoSpaceDE/>
        <w:autoSpaceDN/>
        <w:bidi w:val="0"/>
        <w:adjustRightInd/>
        <w:snapToGrid/>
        <w:spacing w:line="600" w:lineRule="exact"/>
        <w:ind w:left="0" w:firstLine="680" w:firstLineChars="200"/>
        <w:jc w:val="both"/>
        <w:textAlignment w:val="auto"/>
        <w:rPr>
          <w:rFonts w:hint="default" w:eastAsia="方正仿宋_GBK"/>
          <w:color w:val="000000"/>
          <w:kern w:val="0"/>
          <w:szCs w:val="32"/>
        </w:rPr>
      </w:pPr>
      <w:r>
        <w:rPr>
          <w:rFonts w:hint="default" w:eastAsia="方正楷体_GBK"/>
          <w:b/>
          <w:bCs/>
          <w:color w:val="000000"/>
          <w:kern w:val="0"/>
          <w:sz w:val="32"/>
          <w:szCs w:val="32"/>
          <w:lang w:val="en-US" w:eastAsia="zh-CN" w:bidi="ar-SA"/>
        </w:rPr>
        <w:t>（二）市场环境部分（第六条至第十五条）。</w:t>
      </w:r>
      <w:r>
        <w:rPr>
          <w:rFonts w:hint="default" w:eastAsia="方正仿宋_GBK" w:cs="仿宋_GB2312"/>
          <w:color w:val="000000"/>
          <w:kern w:val="0"/>
          <w:szCs w:val="32"/>
          <w:lang w:bidi="ar-SA"/>
        </w:rPr>
        <w:t>围绕企业全生命周期服务，对</w:t>
      </w:r>
      <w:r>
        <w:rPr>
          <w:rFonts w:hint="default" w:eastAsia="方正仿宋_GBK"/>
          <w:color w:val="000000"/>
          <w:kern w:val="0"/>
          <w:szCs w:val="32"/>
        </w:rPr>
        <w:t>市场准入、发展新质生产力、产业链协同与绿色转型、农村产业发展、要素保障</w:t>
      </w:r>
      <w:r>
        <w:rPr>
          <w:rFonts w:hint="eastAsia" w:eastAsia="方正仿宋_GBK"/>
          <w:color w:val="000000"/>
          <w:kern w:val="0"/>
          <w:szCs w:val="32"/>
          <w:lang w:eastAsia="zh-CN"/>
        </w:rPr>
        <w:t>、</w:t>
      </w:r>
      <w:r>
        <w:rPr>
          <w:rFonts w:hint="default" w:eastAsia="方正仿宋_GBK"/>
          <w:color w:val="000000"/>
          <w:kern w:val="0"/>
          <w:szCs w:val="32"/>
        </w:rPr>
        <w:t>公用事业服务、融资支持、人才保障、政府履约责任以及市场主体退出机制进行规定。</w:t>
      </w:r>
    </w:p>
    <w:p>
      <w:pPr>
        <w:keepNext w:val="0"/>
        <w:keepLines w:val="0"/>
        <w:pageBreakBefore w:val="0"/>
        <w:widowControl w:val="0"/>
        <w:kinsoku/>
        <w:wordWrap/>
        <w:overflowPunct/>
        <w:topLinePunct w:val="0"/>
        <w:snapToGrid/>
        <w:spacing w:line="600" w:lineRule="exact"/>
        <w:ind w:firstLine="640"/>
        <w:rPr>
          <w:rFonts w:ascii="Times New Roman" w:hAnsi="Times New Roman" w:eastAsia="仿宋_GB2312" w:cs="仿宋_GB2312"/>
          <w:color w:val="000000"/>
          <w:sz w:val="32"/>
          <w:szCs w:val="32"/>
          <w:u w:val="none"/>
          <w:lang w:val="en-US" w:eastAsia="zh-CN" w:bidi="ar-SA"/>
        </w:rPr>
      </w:pPr>
      <w:r>
        <w:rPr>
          <w:rFonts w:hint="default" w:eastAsia="方正楷体_GBK"/>
          <w:b/>
          <w:bCs/>
          <w:color w:val="000000"/>
          <w:kern w:val="0"/>
          <w:sz w:val="32"/>
          <w:szCs w:val="32"/>
          <w:lang w:val="en-US" w:eastAsia="zh-CN" w:bidi="ar-SA"/>
        </w:rPr>
        <w:t>（三）政务服务部分（第十</w:t>
      </w:r>
      <w:r>
        <w:rPr>
          <w:rFonts w:eastAsia="方正楷体_GBK"/>
          <w:b/>
          <w:bCs/>
          <w:color w:val="000000"/>
          <w:kern w:val="0"/>
          <w:sz w:val="32"/>
          <w:szCs w:val="32"/>
          <w:lang w:val="en-US" w:eastAsia="zh-CN" w:bidi="ar-SA"/>
        </w:rPr>
        <w:t>六</w:t>
      </w:r>
      <w:r>
        <w:rPr>
          <w:rFonts w:hint="default" w:eastAsia="方正楷体_GBK"/>
          <w:b/>
          <w:bCs/>
          <w:color w:val="000000"/>
          <w:kern w:val="0"/>
          <w:sz w:val="32"/>
          <w:szCs w:val="32"/>
          <w:lang w:val="en-US" w:eastAsia="zh-CN" w:bidi="ar-SA"/>
        </w:rPr>
        <w:t>条至第二十三条）。</w:t>
      </w:r>
      <w:r>
        <w:rPr>
          <w:rFonts w:hint="default" w:eastAsia="方正仿宋_GBK" w:cs="仿宋_GB2312"/>
          <w:color w:val="000000"/>
          <w:kern w:val="0"/>
          <w:szCs w:val="32"/>
          <w:lang w:val="en-US" w:eastAsia="zh-CN" w:bidi="ar-SA"/>
        </w:rPr>
        <w:t>围绕为市场主体提供高效、便捷的政务服务，对政企沟通机制、政务服务标准化、“一网通办”、电子证照应用、工程项目容缺审批、不动产登记、惠企</w:t>
      </w:r>
      <w:r>
        <w:rPr>
          <w:rFonts w:hint="eastAsia" w:eastAsia="方正仿宋_GBK" w:cs="仿宋_GB2312"/>
          <w:color w:val="000000"/>
          <w:kern w:val="0"/>
          <w:szCs w:val="32"/>
          <w:lang w:val="en-US" w:eastAsia="zh-CN" w:bidi="ar-SA"/>
        </w:rPr>
        <w:t>政策</w:t>
      </w:r>
      <w:r>
        <w:rPr>
          <w:rFonts w:hint="default" w:eastAsia="方正仿宋_GBK" w:cs="仿宋_GB2312"/>
          <w:color w:val="000000"/>
          <w:kern w:val="0"/>
          <w:szCs w:val="32"/>
          <w:lang w:val="en-US" w:eastAsia="zh-CN" w:bidi="ar-SA"/>
        </w:rPr>
        <w:t>服务、诉求响应与办理进行规定。</w:t>
      </w:r>
    </w:p>
    <w:p>
      <w:pPr>
        <w:keepNext w:val="0"/>
        <w:keepLines w:val="0"/>
        <w:pageBreakBefore w:val="0"/>
        <w:widowControl w:val="0"/>
        <w:kinsoku/>
        <w:wordWrap/>
        <w:overflowPunct/>
        <w:topLinePunct w:val="0"/>
        <w:bidi w:val="0"/>
        <w:snapToGrid/>
        <w:spacing w:line="600" w:lineRule="exact"/>
        <w:ind w:firstLine="640"/>
        <w:jc w:val="both"/>
        <w:textAlignment w:val="auto"/>
        <w:rPr>
          <w:rFonts w:hint="default" w:eastAsia="方正仿宋_GBK" w:cs="仿宋_GB2312"/>
          <w:bCs/>
          <w:color w:val="000000"/>
          <w:kern w:val="0"/>
          <w:szCs w:val="32"/>
          <w:lang w:bidi="ar-SA"/>
        </w:rPr>
      </w:pPr>
      <w:r>
        <w:rPr>
          <w:rFonts w:hint="default" w:eastAsia="方正楷体_GBK"/>
          <w:b/>
          <w:bCs/>
          <w:color w:val="000000"/>
          <w:kern w:val="0"/>
          <w:sz w:val="32"/>
          <w:szCs w:val="32"/>
          <w:lang w:val="en-US" w:eastAsia="zh-CN" w:bidi="ar-SA"/>
        </w:rPr>
        <w:t>（四）法治保障部分（第二十四条至第三十</w:t>
      </w:r>
      <w:r>
        <w:rPr>
          <w:rFonts w:eastAsia="方正楷体_GBK"/>
          <w:b/>
          <w:bCs/>
          <w:color w:val="000000"/>
          <w:kern w:val="0"/>
          <w:sz w:val="32"/>
          <w:szCs w:val="32"/>
          <w:lang w:val="en-US" w:eastAsia="zh-CN" w:bidi="ar-SA"/>
        </w:rPr>
        <w:t>四</w:t>
      </w:r>
      <w:r>
        <w:rPr>
          <w:rFonts w:hint="default" w:eastAsia="方正楷体_GBK"/>
          <w:b/>
          <w:bCs/>
          <w:color w:val="000000"/>
          <w:kern w:val="0"/>
          <w:sz w:val="32"/>
          <w:szCs w:val="32"/>
          <w:lang w:val="en-US" w:eastAsia="zh-CN" w:bidi="ar-SA"/>
        </w:rPr>
        <w:t>条）。</w:t>
      </w:r>
      <w:r>
        <w:rPr>
          <w:rFonts w:hint="default" w:eastAsia="方正仿宋_GBK" w:cs="仿宋_GB2312"/>
          <w:color w:val="000000"/>
          <w:kern w:val="0"/>
          <w:szCs w:val="32"/>
          <w:lang w:bidi="ar-SA"/>
        </w:rPr>
        <w:t>围绕规范涉企执法检查和提升法治服务，对立法衔接与政策制定、包容审慎监管、规范行政检查</w:t>
      </w:r>
      <w:r>
        <w:rPr>
          <w:rFonts w:eastAsia="方正仿宋_GBK" w:cs="仿宋_GB2312"/>
          <w:color w:val="000000"/>
          <w:kern w:val="0"/>
          <w:szCs w:val="32"/>
          <w:lang w:bidi="ar-SA"/>
        </w:rPr>
        <w:t>和</w:t>
      </w:r>
      <w:r>
        <w:rPr>
          <w:rFonts w:hint="default" w:eastAsia="方正仿宋_GBK" w:cs="仿宋_GB2312"/>
          <w:color w:val="000000"/>
          <w:kern w:val="0"/>
          <w:szCs w:val="32"/>
          <w:lang w:bidi="ar-SA"/>
        </w:rPr>
        <w:t>行政执法、司法保障、知识产权保障、纠纷解决、破产工作府院联动、公共法律服务、法制宣传教育、社会监督等内容进行规定。</w:t>
      </w:r>
    </w:p>
    <w:p>
      <w:pPr>
        <w:keepNext w:val="0"/>
        <w:keepLines w:val="0"/>
        <w:pageBreakBefore w:val="0"/>
        <w:widowControl w:val="0"/>
        <w:kinsoku/>
        <w:wordWrap/>
        <w:overflowPunct/>
        <w:topLinePunct w:val="0"/>
        <w:bidi w:val="0"/>
        <w:snapToGrid/>
        <w:spacing w:line="600" w:lineRule="exact"/>
        <w:ind w:firstLine="640"/>
        <w:jc w:val="both"/>
        <w:textAlignment w:val="auto"/>
        <w:rPr>
          <w:rFonts w:hint="default" w:eastAsia="方正仿宋_GBK" w:cs="仿宋_GB2312"/>
          <w:bCs/>
          <w:color w:val="000000"/>
          <w:kern w:val="0"/>
          <w:szCs w:val="32"/>
          <w:lang w:bidi="ar-SA"/>
        </w:rPr>
      </w:pPr>
      <w:r>
        <w:rPr>
          <w:rFonts w:eastAsia="方正楷体_GBK"/>
          <w:b/>
          <w:bCs/>
          <w:color w:val="000000"/>
          <w:kern w:val="0"/>
          <w:sz w:val="32"/>
          <w:szCs w:val="32"/>
          <w:lang w:val="en-US" w:eastAsia="zh-CN" w:bidi="ar-SA"/>
        </w:rPr>
        <w:t>（五）法律责任部分（第三十五条）。</w:t>
      </w:r>
      <w:r>
        <w:rPr>
          <w:rFonts w:hint="default" w:eastAsia="方正仿宋_GBK" w:cs="仿宋_GB2312"/>
          <w:color w:val="000000"/>
          <w:kern w:val="0"/>
          <w:szCs w:val="32"/>
          <w:lang w:bidi="ar-SA"/>
        </w:rPr>
        <w:t>建立容错机制</w:t>
      </w:r>
      <w:r>
        <w:rPr>
          <w:rFonts w:eastAsia="方正仿宋_GBK" w:cs="仿宋_GB2312"/>
          <w:color w:val="000000"/>
          <w:kern w:val="0"/>
          <w:szCs w:val="32"/>
          <w:lang w:bidi="ar-SA"/>
        </w:rPr>
        <w:t>，</w:t>
      </w:r>
      <w:r>
        <w:rPr>
          <w:rFonts w:hint="default" w:eastAsia="方正仿宋_GBK" w:cs="仿宋_GB2312"/>
          <w:bCs/>
          <w:color w:val="000000"/>
          <w:kern w:val="0"/>
          <w:szCs w:val="32"/>
          <w:lang w:bidi="ar-SA"/>
        </w:rPr>
        <w:t>对国家机关及其工作人员</w:t>
      </w:r>
      <w:r>
        <w:rPr>
          <w:rFonts w:hint="default" w:eastAsia="方正仿宋_GBK" w:cs="仿宋_GB2312"/>
          <w:color w:val="000000"/>
          <w:kern w:val="0"/>
          <w:szCs w:val="32"/>
          <w:lang w:bidi="ar-SA"/>
        </w:rPr>
        <w:t>在优化营商环境工作中玩忽职守、滥用职权、徇私舞弊的</w:t>
      </w:r>
      <w:r>
        <w:rPr>
          <w:rFonts w:hint="eastAsia" w:eastAsia="方正仿宋_GBK" w:cs="仿宋_GB2312"/>
          <w:color w:val="000000"/>
          <w:kern w:val="0"/>
          <w:szCs w:val="32"/>
          <w:lang w:eastAsia="zh-CN" w:bidi="ar-SA"/>
        </w:rPr>
        <w:t>行为</w:t>
      </w:r>
      <w:r>
        <w:rPr>
          <w:rFonts w:hint="default" w:eastAsia="方正仿宋_GBK" w:cs="仿宋_GB2312"/>
          <w:color w:val="000000"/>
          <w:kern w:val="0"/>
          <w:szCs w:val="32"/>
          <w:lang w:bidi="ar-SA"/>
        </w:rPr>
        <w:t>作出</w:t>
      </w:r>
      <w:r>
        <w:rPr>
          <w:rFonts w:eastAsia="方正仿宋_GBK" w:cs="仿宋_GB2312"/>
          <w:color w:val="000000"/>
          <w:kern w:val="0"/>
          <w:szCs w:val="32"/>
          <w:lang w:bidi="ar-SA"/>
        </w:rPr>
        <w:t>规定。</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K" w:cs="Times New Roman"/>
          <w:color w:val="000000"/>
          <w:kern w:val="2"/>
          <w:sz w:val="32"/>
          <w:szCs w:val="32"/>
          <w:lang w:bidi="ar-SA"/>
        </w:rPr>
        <w:sectPr>
          <w:pgSz w:w="11907" w:h="16840"/>
          <w:pgMar w:top="2098" w:right="1474" w:bottom="1985" w:left="1588" w:header="907" w:footer="1644" w:gutter="0"/>
          <w:cols w:space="720" w:num="1"/>
          <w:docGrid w:type="linesAndChars" w:linePitch="576" w:charSpace="4121"/>
        </w:sectPr>
      </w:pPr>
      <w:r>
        <w:rPr>
          <w:rFonts w:eastAsia="方正楷体_GBK" w:cs="仿宋_GB2312"/>
          <w:b/>
          <w:bCs/>
          <w:color w:val="000000"/>
          <w:kern w:val="0"/>
          <w:szCs w:val="32"/>
          <w:lang w:bidi="ar-SA"/>
        </w:rPr>
        <w:t>（六）</w:t>
      </w:r>
      <w:r>
        <w:rPr>
          <w:rFonts w:hint="eastAsia" w:eastAsia="方正楷体_GBK" w:cs="仿宋_GB2312"/>
          <w:b/>
          <w:bCs/>
          <w:color w:val="000000"/>
          <w:kern w:val="0"/>
          <w:szCs w:val="32"/>
          <w:lang w:bidi="ar-SA"/>
        </w:rPr>
        <w:t>附则部分</w:t>
      </w:r>
      <w:r>
        <w:rPr>
          <w:rFonts w:eastAsia="方正楷体_GBK" w:cs="仿宋_GB2312"/>
          <w:b/>
          <w:bCs/>
          <w:color w:val="000000"/>
          <w:kern w:val="0"/>
          <w:szCs w:val="32"/>
          <w:lang w:bidi="ar-SA"/>
        </w:rPr>
        <w:t>（第三十六</w:t>
      </w:r>
      <w:r>
        <w:rPr>
          <w:rFonts w:hint="eastAsia" w:eastAsia="方正楷体_GBK" w:cs="仿宋_GB2312"/>
          <w:b/>
          <w:bCs/>
          <w:color w:val="auto"/>
          <w:kern w:val="0"/>
          <w:szCs w:val="32"/>
          <w:lang w:eastAsia="zh-CN" w:bidi="ar-SA"/>
        </w:rPr>
        <w:t>条</w:t>
      </w:r>
      <w:r>
        <w:rPr>
          <w:rFonts w:eastAsia="方正楷体_GBK" w:cs="仿宋_GB2312"/>
          <w:b/>
          <w:bCs/>
          <w:color w:val="000000"/>
          <w:kern w:val="0"/>
          <w:szCs w:val="32"/>
          <w:lang w:bidi="ar-SA"/>
        </w:rPr>
        <w:t>）。</w:t>
      </w:r>
      <w:r>
        <w:rPr>
          <w:rFonts w:hint="default" w:eastAsia="方正仿宋_GBK" w:cs="仿宋_GB2312"/>
          <w:bCs/>
          <w:color w:val="000000"/>
          <w:kern w:val="0"/>
          <w:szCs w:val="32"/>
          <w:lang w:val="en-US" w:eastAsia="zh-CN" w:bidi="ar-SA"/>
        </w:rPr>
        <w:t>规定施行日期</w:t>
      </w:r>
      <w:r>
        <w:rPr>
          <w:rFonts w:hint="eastAsia" w:eastAsia="方正仿宋_GBK" w:cs="仿宋_GB2312"/>
          <w:bCs/>
          <w:color w:val="000000"/>
          <w:kern w:val="0"/>
          <w:szCs w:val="32"/>
          <w:lang w:val="en-US" w:eastAsia="zh-CN" w:bidi="ar-SA"/>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楷体简体">
    <w:altName w:val="方正楷体_GBK"/>
    <w:panose1 w:val="03000509000000000000"/>
    <w:charset w:val="00"/>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CE7C6"/>
    <w:rsid w:val="6DDCE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2026-07-20T11:08:00Z</dcterms:created>
  <dc:creator>luisasingerha</dc:creator>
  <cp:lastModifiedBy>luisasingerha</cp:lastModifiedBy>
  <dcterms:modified xsi:type="dcterms:W3CDTF">2026-07-20T11:08:43Z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